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AD8" w:rsidRPr="00EC1E49" w:rsidRDefault="00A52AD8" w:rsidP="00A52AD8">
      <w:pPr>
        <w:pStyle w:val="Nzev"/>
        <w:jc w:val="center"/>
        <w:rPr>
          <w:lang w:val="cs-CZ"/>
        </w:rPr>
      </w:pPr>
      <w:r w:rsidRPr="00EC1E49">
        <w:rPr>
          <w:lang w:val="cs-CZ"/>
        </w:rPr>
        <w:t>SMLOUVA O POSKYTNUTÍ NADAČNÍHO PŘÍSPĚVKU</w:t>
      </w:r>
    </w:p>
    <w:p w:rsidR="00A52AD8" w:rsidRPr="00EC1E49" w:rsidRDefault="00A52AD8" w:rsidP="00A52AD8">
      <w:pPr>
        <w:pStyle w:val="Nzev"/>
        <w:jc w:val="center"/>
        <w:rPr>
          <w:lang w:val="cs-CZ"/>
        </w:rPr>
      </w:pPr>
      <w:r w:rsidRPr="00EC1E49">
        <w:rPr>
          <w:lang w:val="cs-CZ"/>
        </w:rPr>
        <w:t xml:space="preserve">č. </w:t>
      </w:r>
      <w:r w:rsidRPr="00EC1E49">
        <w:rPr>
          <w:highlight w:val="yellow"/>
          <w:lang w:val="cs-CZ"/>
        </w:rPr>
        <w:t>[●]</w:t>
      </w:r>
    </w:p>
    <w:p w:rsidR="00A52AD8" w:rsidRPr="00EC1E49" w:rsidRDefault="00A52AD8" w:rsidP="00A52AD8">
      <w:pPr>
        <w:pStyle w:val="Parties"/>
        <w:numPr>
          <w:ilvl w:val="0"/>
          <w:numId w:val="2"/>
        </w:numPr>
        <w:ind w:left="567" w:hanging="567"/>
        <w:rPr>
          <w:rFonts w:cs="Arial"/>
          <w:lang w:val="cs-CZ"/>
        </w:rPr>
      </w:pPr>
      <w:r w:rsidRPr="00EC1E49">
        <w:rPr>
          <w:rFonts w:cs="Arial"/>
          <w:b/>
          <w:lang w:val="cs-CZ"/>
        </w:rPr>
        <w:t>Nadační fond Nexen Tire Europe</w:t>
      </w:r>
      <w:r w:rsidRPr="00EC1E49">
        <w:rPr>
          <w:rFonts w:cs="Arial"/>
          <w:lang w:val="cs-CZ"/>
        </w:rPr>
        <w:t>, nadační fond se sídlem Průmyslová 1000, Bitozeves-Průmyslová zóna Triangle, 438 01 Bitozeves, IČ: 09053409, zaps</w:t>
      </w:r>
      <w:r>
        <w:rPr>
          <w:rFonts w:cs="Arial"/>
          <w:lang w:val="cs-CZ"/>
        </w:rPr>
        <w:t>á</w:t>
      </w:r>
      <w:r w:rsidRPr="00EC1E49">
        <w:rPr>
          <w:rFonts w:cs="Arial"/>
          <w:lang w:val="cs-CZ"/>
        </w:rPr>
        <w:t xml:space="preserve">n do nadačního rejstříku vedeného u Krajského soudu v Ústí nad Labem, </w:t>
      </w:r>
      <w:proofErr w:type="spellStart"/>
      <w:r w:rsidRPr="00EC1E49">
        <w:rPr>
          <w:rFonts w:cs="Arial"/>
          <w:lang w:val="cs-CZ"/>
        </w:rPr>
        <w:t>sp</w:t>
      </w:r>
      <w:proofErr w:type="spellEnd"/>
      <w:r w:rsidRPr="00EC1E49">
        <w:rPr>
          <w:rFonts w:cs="Arial"/>
          <w:lang w:val="cs-CZ"/>
        </w:rPr>
        <w:t xml:space="preserve">. zn. </w:t>
      </w:r>
      <w:r>
        <w:rPr>
          <w:rFonts w:cs="Arial"/>
          <w:lang w:val="cs-CZ"/>
        </w:rPr>
        <w:t xml:space="preserve">N </w:t>
      </w:r>
      <w:r w:rsidRPr="00EC1E49">
        <w:rPr>
          <w:rFonts w:cs="Arial"/>
          <w:lang w:val="cs-CZ"/>
        </w:rPr>
        <w:t xml:space="preserve">371, zastoupen </w:t>
      </w:r>
      <w:r w:rsidRPr="00EC1E49">
        <w:rPr>
          <w:rFonts w:cs="Arial"/>
          <w:highlight w:val="yellow"/>
          <w:lang w:val="cs-CZ"/>
        </w:rPr>
        <w:t>[● jméno</w:t>
      </w:r>
      <w:r w:rsidRPr="00EC1E49">
        <w:rPr>
          <w:rFonts w:cs="Arial"/>
          <w:lang w:val="cs-CZ"/>
        </w:rPr>
        <w:t xml:space="preserve">], </w:t>
      </w:r>
      <w:r w:rsidRPr="00EC1E49">
        <w:rPr>
          <w:rFonts w:cs="Arial"/>
          <w:highlight w:val="yellow"/>
          <w:lang w:val="cs-CZ"/>
        </w:rPr>
        <w:t>[● funkce</w:t>
      </w:r>
      <w:r w:rsidRPr="00EC1E49">
        <w:rPr>
          <w:rFonts w:cs="Arial"/>
          <w:lang w:val="cs-CZ"/>
        </w:rPr>
        <w:t>] (dále jen “</w:t>
      </w:r>
      <w:r w:rsidRPr="00EC1E49">
        <w:rPr>
          <w:rFonts w:cs="Arial"/>
          <w:b/>
          <w:lang w:val="cs-CZ"/>
        </w:rPr>
        <w:t>Nadační Fond</w:t>
      </w:r>
      <w:r w:rsidRPr="00EC1E49">
        <w:rPr>
          <w:rFonts w:cs="Arial"/>
          <w:lang w:val="cs-CZ"/>
        </w:rPr>
        <w:t>“)</w:t>
      </w:r>
    </w:p>
    <w:p w:rsidR="00A52AD8" w:rsidRPr="00EC1E49" w:rsidRDefault="00A52AD8" w:rsidP="00A52AD8">
      <w:pPr>
        <w:pStyle w:val="Body"/>
        <w:rPr>
          <w:rFonts w:cs="Arial"/>
          <w:lang w:val="cs-CZ"/>
        </w:rPr>
      </w:pPr>
      <w:r w:rsidRPr="00EC1E49">
        <w:rPr>
          <w:rFonts w:cs="Arial"/>
          <w:lang w:val="cs-CZ"/>
        </w:rPr>
        <w:t>a</w:t>
      </w:r>
    </w:p>
    <w:p w:rsidR="00A52AD8" w:rsidRPr="00EC1E49" w:rsidRDefault="00A52AD8" w:rsidP="00A52AD8">
      <w:pPr>
        <w:pStyle w:val="Parties"/>
        <w:numPr>
          <w:ilvl w:val="0"/>
          <w:numId w:val="2"/>
        </w:numPr>
        <w:ind w:left="567" w:hanging="567"/>
        <w:rPr>
          <w:rFonts w:cs="Arial"/>
          <w:lang w:val="cs-CZ"/>
        </w:rPr>
      </w:pPr>
      <w:r w:rsidRPr="00EC1E49">
        <w:rPr>
          <w:rFonts w:cs="Arial"/>
          <w:lang w:val="cs-CZ"/>
        </w:rPr>
        <w:t>[</w:t>
      </w:r>
      <w:r w:rsidRPr="00EC1E49">
        <w:rPr>
          <w:rFonts w:cs="Arial"/>
          <w:b/>
          <w:highlight w:val="yellow"/>
          <w:lang w:val="cs-CZ"/>
        </w:rPr>
        <w:t>název</w:t>
      </w:r>
      <w:r w:rsidRPr="00EC1E49">
        <w:rPr>
          <w:rFonts w:cs="Arial"/>
          <w:lang w:val="cs-CZ"/>
        </w:rPr>
        <w:t xml:space="preserve">], se sídlem </w:t>
      </w:r>
      <w:r w:rsidRPr="00EC1E49">
        <w:rPr>
          <w:rFonts w:cs="Arial"/>
          <w:highlight w:val="yellow"/>
          <w:lang w:val="cs-CZ"/>
        </w:rPr>
        <w:t>[●</w:t>
      </w:r>
      <w:r w:rsidRPr="00EC1E49">
        <w:rPr>
          <w:rFonts w:cs="Arial"/>
          <w:lang w:val="cs-CZ"/>
        </w:rPr>
        <w:t>], IČ: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], zaps</w:t>
      </w:r>
      <w:r>
        <w:rPr>
          <w:rFonts w:cs="Arial"/>
          <w:lang w:val="cs-CZ"/>
        </w:rPr>
        <w:t>á</w:t>
      </w:r>
      <w:r w:rsidRPr="00EC1E49">
        <w:rPr>
          <w:rFonts w:cs="Arial"/>
          <w:lang w:val="cs-CZ"/>
        </w:rPr>
        <w:t xml:space="preserve">n do </w:t>
      </w:r>
      <w:r w:rsidRPr="00EC1E49">
        <w:rPr>
          <w:rFonts w:cs="Arial"/>
          <w:highlight w:val="yellow"/>
          <w:lang w:val="cs-CZ"/>
        </w:rPr>
        <w:t>[●</w:t>
      </w:r>
      <w:r w:rsidRPr="00EC1E49">
        <w:rPr>
          <w:rFonts w:cs="Arial"/>
          <w:lang w:val="cs-CZ"/>
        </w:rPr>
        <w:t xml:space="preserve">] rejstříku vedeného u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soudu v [</w:t>
      </w:r>
      <w:r w:rsidRPr="00EC1E49">
        <w:rPr>
          <w:rFonts w:cs="Arial"/>
          <w:highlight w:val="yellow"/>
          <w:lang w:val="cs-CZ"/>
        </w:rPr>
        <w:t>●]</w:t>
      </w:r>
      <w:r w:rsidRPr="00EC1E49">
        <w:rPr>
          <w:rFonts w:cs="Arial"/>
          <w:lang w:val="cs-CZ"/>
        </w:rPr>
        <w:t xml:space="preserve">, </w:t>
      </w:r>
      <w:proofErr w:type="spellStart"/>
      <w:r w:rsidRPr="00EC1E49">
        <w:rPr>
          <w:rFonts w:cs="Arial"/>
          <w:lang w:val="cs-CZ"/>
        </w:rPr>
        <w:t>sp</w:t>
      </w:r>
      <w:proofErr w:type="spellEnd"/>
      <w:r w:rsidRPr="00EC1E49">
        <w:rPr>
          <w:rFonts w:cs="Arial"/>
          <w:lang w:val="cs-CZ"/>
        </w:rPr>
        <w:t xml:space="preserve">. zn.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>, zastoupe</w:t>
      </w:r>
      <w:r>
        <w:rPr>
          <w:rFonts w:cs="Arial"/>
          <w:lang w:val="cs-CZ"/>
        </w:rPr>
        <w:t>n</w:t>
      </w:r>
      <w:r w:rsidRPr="00EC1E49">
        <w:rPr>
          <w:rFonts w:cs="Arial"/>
          <w:lang w:val="cs-CZ"/>
        </w:rPr>
        <w:t xml:space="preserve"> </w:t>
      </w:r>
      <w:r w:rsidRPr="00EC1E49">
        <w:rPr>
          <w:rFonts w:cs="Arial"/>
          <w:highlight w:val="yellow"/>
          <w:lang w:val="cs-CZ"/>
        </w:rPr>
        <w:t>[● jméno</w:t>
      </w:r>
      <w:r w:rsidRPr="00EC1E49">
        <w:rPr>
          <w:rFonts w:cs="Arial"/>
          <w:lang w:val="cs-CZ"/>
        </w:rPr>
        <w:t xml:space="preserve">], </w:t>
      </w:r>
      <w:r w:rsidRPr="00EC1E49">
        <w:rPr>
          <w:rFonts w:cs="Arial"/>
          <w:highlight w:val="yellow"/>
          <w:lang w:val="cs-CZ"/>
        </w:rPr>
        <w:t>[● funkce</w:t>
      </w:r>
      <w:r w:rsidRPr="00EC1E49">
        <w:rPr>
          <w:rFonts w:cs="Arial"/>
          <w:lang w:val="cs-CZ"/>
        </w:rPr>
        <w:t>] (dále jen „</w:t>
      </w:r>
      <w:r w:rsidRPr="00EC1E49">
        <w:rPr>
          <w:rFonts w:cs="Arial"/>
          <w:b/>
          <w:lang w:val="cs-CZ"/>
        </w:rPr>
        <w:t>Příjemce</w:t>
      </w:r>
      <w:r w:rsidRPr="00EC1E49">
        <w:rPr>
          <w:rFonts w:cs="Arial"/>
          <w:lang w:val="cs-CZ"/>
        </w:rPr>
        <w:t>“)</w:t>
      </w:r>
    </w:p>
    <w:p w:rsidR="00A52AD8" w:rsidRPr="00EC1E49" w:rsidRDefault="00A52AD8" w:rsidP="00A52AD8">
      <w:pPr>
        <w:pStyle w:val="Body"/>
        <w:rPr>
          <w:rFonts w:cs="Arial"/>
          <w:lang w:val="cs-CZ"/>
        </w:rPr>
      </w:pPr>
      <w:r w:rsidRPr="00EC1E49">
        <w:rPr>
          <w:rFonts w:cs="Arial"/>
          <w:lang w:val="cs-CZ"/>
        </w:rPr>
        <w:t>NEBO</w:t>
      </w:r>
    </w:p>
    <w:p w:rsidR="00A52AD8" w:rsidRPr="00EC1E49" w:rsidRDefault="00A52AD8" w:rsidP="00A52AD8">
      <w:pPr>
        <w:pStyle w:val="Parties"/>
        <w:numPr>
          <w:ilvl w:val="0"/>
          <w:numId w:val="2"/>
        </w:numPr>
        <w:ind w:left="567" w:hanging="567"/>
        <w:rPr>
          <w:rFonts w:cs="Arial"/>
          <w:lang w:val="cs-CZ"/>
        </w:rPr>
      </w:pPr>
      <w:r w:rsidRPr="00EC1E49">
        <w:rPr>
          <w:rFonts w:cs="Arial"/>
          <w:highlight w:val="yellow"/>
          <w:lang w:val="cs-CZ"/>
        </w:rPr>
        <w:t>[</w:t>
      </w:r>
      <w:r w:rsidRPr="00EC1E49">
        <w:rPr>
          <w:rFonts w:cs="Arial"/>
          <w:b/>
          <w:highlight w:val="yellow"/>
          <w:lang w:val="cs-CZ"/>
        </w:rPr>
        <w:t>jméno a příjmení</w:t>
      </w:r>
      <w:r w:rsidRPr="00EC1E49">
        <w:rPr>
          <w:rFonts w:cs="Arial"/>
          <w:lang w:val="cs-CZ"/>
        </w:rPr>
        <w:t>], datum narození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], trvale bytem [</w:t>
      </w:r>
      <w:r w:rsidRPr="00EC1E49">
        <w:rPr>
          <w:rFonts w:cs="Arial"/>
          <w:highlight w:val="yellow"/>
          <w:lang w:val="cs-CZ"/>
        </w:rPr>
        <w:t>●</w:t>
      </w:r>
      <w:r w:rsidRPr="00EC1E49">
        <w:rPr>
          <w:rFonts w:cs="Arial"/>
          <w:lang w:val="cs-CZ"/>
        </w:rPr>
        <w:t>] (dále jen „</w:t>
      </w:r>
      <w:r w:rsidRPr="00EC1E49">
        <w:rPr>
          <w:rFonts w:cs="Arial"/>
          <w:b/>
          <w:lang w:val="cs-CZ"/>
        </w:rPr>
        <w:t>Příjemce</w:t>
      </w:r>
      <w:r w:rsidRPr="00EC1E49">
        <w:rPr>
          <w:rFonts w:cs="Arial"/>
          <w:lang w:val="cs-CZ"/>
        </w:rPr>
        <w:t>“)</w:t>
      </w:r>
    </w:p>
    <w:p w:rsidR="00A52AD8" w:rsidRPr="00EC1E49" w:rsidRDefault="00A52AD8" w:rsidP="00A52AD8">
      <w:pPr>
        <w:pStyle w:val="Body"/>
        <w:rPr>
          <w:rFonts w:cs="Arial"/>
          <w:lang w:val="cs-CZ"/>
        </w:rPr>
      </w:pPr>
    </w:p>
    <w:p w:rsidR="00A52AD8" w:rsidRPr="00EC1E49" w:rsidRDefault="00A52AD8" w:rsidP="00A52AD8">
      <w:pPr>
        <w:pStyle w:val="Body"/>
        <w:rPr>
          <w:rFonts w:cs="Arial"/>
          <w:lang w:val="cs-CZ"/>
        </w:rPr>
      </w:pPr>
      <w:r w:rsidRPr="00EC1E49">
        <w:rPr>
          <w:rFonts w:cs="Arial"/>
          <w:lang w:val="cs-CZ"/>
        </w:rPr>
        <w:t xml:space="preserve">uzavřeli níže uvedeného dne, měsíce a roku v souladu s </w:t>
      </w:r>
      <w:proofErr w:type="gramStart"/>
      <w:r w:rsidRPr="00EC1E49">
        <w:rPr>
          <w:rFonts w:cs="Arial"/>
          <w:lang w:val="cs-CZ"/>
        </w:rPr>
        <w:t>ustanoveními  §</w:t>
      </w:r>
      <w:proofErr w:type="gramEnd"/>
      <w:r w:rsidRPr="00EC1E49">
        <w:rPr>
          <w:rFonts w:cs="Arial"/>
          <w:lang w:val="cs-CZ"/>
        </w:rPr>
        <w:t xml:space="preserve"> 353 a násl. a § 1746 odst. 2 zákona č. 89/2012 Sb., občanský zákoník (dále jen „</w:t>
      </w:r>
      <w:r w:rsidRPr="00EC1E49">
        <w:rPr>
          <w:rFonts w:cs="Arial"/>
          <w:b/>
          <w:lang w:val="cs-CZ"/>
        </w:rPr>
        <w:t>Zákon</w:t>
      </w:r>
      <w:r w:rsidRPr="00EC1E49">
        <w:rPr>
          <w:rFonts w:cs="Arial"/>
          <w:lang w:val="cs-CZ"/>
        </w:rPr>
        <w:t>“), tuto smlouvu:</w:t>
      </w:r>
    </w:p>
    <w:p w:rsidR="00A52AD8" w:rsidRPr="00EC1E49" w:rsidRDefault="00A52AD8" w:rsidP="00A52AD8">
      <w:pPr>
        <w:pStyle w:val="Level1"/>
        <w:rPr>
          <w:lang w:val="cs-CZ"/>
        </w:rPr>
      </w:pPr>
      <w:r w:rsidRPr="00EC1E49">
        <w:rPr>
          <w:lang w:val="cs-CZ"/>
        </w:rPr>
        <w:t>Účel Nadačního Fondu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Nadační Fond je právnickou osobou vyvíjející svou činnost podle Zákona a v souladu se svojí Zakladatelskou listinou a Statutem.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Účelem Nadačního Fondu jsou činnosti směřující k </w:t>
      </w:r>
    </w:p>
    <w:p w:rsidR="00A52AD8" w:rsidRPr="00EC1E49" w:rsidRDefault="00A52AD8" w:rsidP="00A52AD8">
      <w:pPr>
        <w:pStyle w:val="Level3"/>
        <w:rPr>
          <w:lang w:val="cs-CZ"/>
        </w:rPr>
      </w:pPr>
      <w:r w:rsidRPr="00EC1E49">
        <w:rPr>
          <w:lang w:val="cs-CZ"/>
        </w:rPr>
        <w:t xml:space="preserve">podpoře individuálních projektů a aktivit v oblasti ochrany a zlepšení kvality všech složek životního prostředí v oblasti Žatecka; </w:t>
      </w:r>
    </w:p>
    <w:p w:rsidR="00A52AD8" w:rsidRPr="00EC1E49" w:rsidRDefault="00A52AD8" w:rsidP="00A52AD8">
      <w:pPr>
        <w:pStyle w:val="Level3"/>
        <w:rPr>
          <w:lang w:val="cs-CZ"/>
        </w:rPr>
      </w:pPr>
      <w:r w:rsidRPr="00EC1E49">
        <w:rPr>
          <w:lang w:val="cs-CZ"/>
        </w:rPr>
        <w:t xml:space="preserve">podpoře rozvoje environmentální výchovy, zejména dětí a mládeže, v oblasti Žatecka prováděných entitami prokazatelně působícími v oblasti Žatecka; a </w:t>
      </w:r>
    </w:p>
    <w:p w:rsidR="00A52AD8" w:rsidRDefault="00A52AD8" w:rsidP="00A52AD8">
      <w:pPr>
        <w:pStyle w:val="Level3"/>
        <w:rPr>
          <w:lang w:val="cs-CZ"/>
        </w:rPr>
      </w:pPr>
      <w:r w:rsidRPr="00EC1E49">
        <w:rPr>
          <w:lang w:val="cs-CZ"/>
        </w:rPr>
        <w:t>podpoře přírody Žatecka spočívající v podpoře péče o volně žijící živočichy, planě rostoucí rostliny a jejich společenstva, dřeviny rostoucí mimo les, přírodní stanoviště, biotopy a péče o ekologické systémy a krajinné celky, jakož i péče o vzhled a přístupnost krajiny.</w:t>
      </w:r>
    </w:p>
    <w:p w:rsidR="00A52AD8" w:rsidRPr="000E213D" w:rsidRDefault="00A52AD8" w:rsidP="00A52AD8">
      <w:pPr>
        <w:pStyle w:val="Level3"/>
        <w:rPr>
          <w:lang w:val="cs-CZ"/>
        </w:rPr>
      </w:pPr>
      <w:r w:rsidRPr="000E213D">
        <w:rPr>
          <w:lang w:val="cs-CZ"/>
        </w:rPr>
        <w:t>podpora dětí s trvalým bydlištěm v oblasti Žatecka, osob postižených či jiným způsobem znevýhodněných s trvalým bydlištěm v oblasti Žatecka a podpora entit prokazatelně působících v oblasti Žatecka za účelem poskytování služeb a podpory těmto osobám a dětem.</w:t>
      </w:r>
    </w:p>
    <w:p w:rsidR="00A52AD8" w:rsidRPr="00EC1E49" w:rsidRDefault="00A52AD8" w:rsidP="00A52AD8">
      <w:pPr>
        <w:pStyle w:val="Level1"/>
        <w:rPr>
          <w:lang w:val="cs-CZ"/>
        </w:rPr>
      </w:pPr>
      <w:r w:rsidRPr="00EC1E49">
        <w:rPr>
          <w:lang w:val="cs-CZ"/>
        </w:rPr>
        <w:t>Předmět smlouvy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Předmětem této smlouvy je poskytnutí nadačního příspěvku </w:t>
      </w:r>
      <w:r w:rsidRPr="00EC1E49">
        <w:rPr>
          <w:b/>
          <w:lang w:val="cs-CZ"/>
        </w:rPr>
        <w:t>ve výši [</w:t>
      </w:r>
      <w:r w:rsidRPr="00EC1E49">
        <w:rPr>
          <w:b/>
          <w:highlight w:val="yellow"/>
          <w:lang w:val="cs-CZ"/>
        </w:rPr>
        <w:t>●</w:t>
      </w:r>
      <w:r w:rsidRPr="00EC1E49">
        <w:rPr>
          <w:b/>
          <w:lang w:val="cs-CZ"/>
        </w:rPr>
        <w:t>] Kč (slovy: [</w:t>
      </w:r>
      <w:r w:rsidRPr="00EC1E49">
        <w:rPr>
          <w:b/>
          <w:highlight w:val="yellow"/>
          <w:lang w:val="cs-CZ"/>
        </w:rPr>
        <w:t>●</w:t>
      </w:r>
      <w:r w:rsidRPr="00EC1E49">
        <w:rPr>
          <w:b/>
          <w:lang w:val="cs-CZ"/>
        </w:rPr>
        <w:t>] korun českých</w:t>
      </w:r>
      <w:r w:rsidRPr="00EC1E49">
        <w:rPr>
          <w:lang w:val="cs-CZ"/>
        </w:rPr>
        <w:t>) Příjemci (dále jen „</w:t>
      </w:r>
      <w:r w:rsidRPr="00EC1E49">
        <w:rPr>
          <w:b/>
          <w:lang w:val="cs-CZ"/>
        </w:rPr>
        <w:t>Nadační příspěvek</w:t>
      </w:r>
      <w:r w:rsidRPr="00EC1E49">
        <w:rPr>
          <w:lang w:val="cs-CZ"/>
        </w:rPr>
        <w:t>“).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Nadační Fond se zavazuje poskytnout Příjemci Nadační příspěvek, přičemž jeho poskytnutí a podmínky jeho použití byly náležité schváleny správní radou Nadačního Fondu dne </w:t>
      </w:r>
      <w:r w:rsidRPr="00EC1E49">
        <w:rPr>
          <w:highlight w:val="yellow"/>
          <w:lang w:val="cs-CZ"/>
        </w:rPr>
        <w:t>[●</w:t>
      </w:r>
      <w:r w:rsidRPr="00EC1E49">
        <w:rPr>
          <w:lang w:val="cs-CZ"/>
        </w:rPr>
        <w:t xml:space="preserve">], a to na základě žádosti č. </w:t>
      </w:r>
      <w:r w:rsidRPr="00EC1E49">
        <w:rPr>
          <w:highlight w:val="yellow"/>
          <w:lang w:val="cs-CZ"/>
        </w:rPr>
        <w:t>[●]</w:t>
      </w:r>
      <w:r w:rsidRPr="00EC1E49">
        <w:rPr>
          <w:lang w:val="cs-CZ"/>
        </w:rPr>
        <w:t xml:space="preserve"> podané Příjemcem dne [</w:t>
      </w:r>
      <w:r w:rsidRPr="00EC1E49">
        <w:rPr>
          <w:highlight w:val="yellow"/>
          <w:lang w:val="cs-CZ"/>
        </w:rPr>
        <w:t>●</w:t>
      </w:r>
      <w:r w:rsidRPr="00EC1E49">
        <w:rPr>
          <w:lang w:val="cs-CZ"/>
        </w:rPr>
        <w:t>] (dále jen “</w:t>
      </w:r>
      <w:r w:rsidRPr="00EC1E49">
        <w:rPr>
          <w:b/>
          <w:lang w:val="cs-CZ"/>
        </w:rPr>
        <w:t>Žádost</w:t>
      </w:r>
      <w:r w:rsidRPr="00EC1E49">
        <w:rPr>
          <w:lang w:val="cs-CZ"/>
        </w:rPr>
        <w:t>“).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prokazatelným způsobem použít celou výši Nadačního příspěvku na přípravu a realizaci aktivit projektu definovaného v Žádosti (dále jen “</w:t>
      </w:r>
      <w:r w:rsidRPr="00EC1E49">
        <w:rPr>
          <w:b/>
          <w:lang w:val="cs-CZ"/>
        </w:rPr>
        <w:t>Projekt</w:t>
      </w:r>
      <w:r w:rsidRPr="00EC1E49">
        <w:rPr>
          <w:lang w:val="cs-CZ"/>
        </w:rPr>
        <w:t xml:space="preserve">"). 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Příjemce se zavazuje realizovat Projekt do </w:t>
      </w:r>
      <w:r w:rsidRPr="00EC1E49">
        <w:rPr>
          <w:highlight w:val="yellow"/>
          <w:lang w:val="cs-CZ"/>
        </w:rPr>
        <w:t>[●].</w:t>
      </w:r>
    </w:p>
    <w:p w:rsidR="00A52AD8" w:rsidRPr="00EC1E49" w:rsidRDefault="00A52AD8" w:rsidP="00A52AD8">
      <w:pPr>
        <w:pStyle w:val="Level2ArialNotBold"/>
        <w:rPr>
          <w:rFonts w:cs="Arial"/>
          <w:lang w:val="cs-CZ"/>
        </w:rPr>
      </w:pPr>
      <w:r w:rsidRPr="00EC1E49">
        <w:rPr>
          <w:rFonts w:cs="Arial"/>
          <w:lang w:val="cs-CZ"/>
        </w:rPr>
        <w:t>Nadační příspěvek bude poskytnut Příjemci [</w:t>
      </w:r>
      <w:r w:rsidRPr="00EC1E49">
        <w:rPr>
          <w:rFonts w:cs="Arial"/>
          <w:highlight w:val="yellow"/>
          <w:lang w:val="cs-CZ"/>
        </w:rPr>
        <w:t>hotovostně/bezhotovostně</w:t>
      </w:r>
      <w:r w:rsidRPr="00EC1E49">
        <w:rPr>
          <w:rFonts w:cs="Arial"/>
          <w:lang w:val="cs-CZ"/>
        </w:rPr>
        <w:t>] [</w:t>
      </w:r>
      <w:r w:rsidRPr="00EC1E49">
        <w:rPr>
          <w:rFonts w:cs="Arial"/>
          <w:highlight w:val="yellow"/>
          <w:lang w:val="cs-CZ"/>
        </w:rPr>
        <w:t>v/ve</w:t>
      </w:r>
      <w:r w:rsidRPr="00EC1E49">
        <w:rPr>
          <w:rFonts w:cs="Arial"/>
          <w:lang w:val="cs-CZ"/>
        </w:rPr>
        <w:t>] [</w:t>
      </w:r>
      <w:r w:rsidRPr="00EC1E49">
        <w:rPr>
          <w:rFonts w:cs="Arial"/>
          <w:highlight w:val="yellow"/>
          <w:lang w:val="cs-CZ"/>
        </w:rPr>
        <w:t>jedné splátce/[</w:t>
      </w:r>
      <w:proofErr w:type="gramStart"/>
      <w:r w:rsidRPr="00EC1E49">
        <w:rPr>
          <w:rFonts w:cs="Arial"/>
          <w:highlight w:val="yellow"/>
          <w:lang w:val="cs-CZ"/>
        </w:rPr>
        <w:t>●]splátkách</w:t>
      </w:r>
      <w:proofErr w:type="gramEnd"/>
      <w:r w:rsidRPr="00EC1E49">
        <w:rPr>
          <w:rFonts w:cs="Arial"/>
          <w:highlight w:val="yellow"/>
          <w:lang w:val="cs-CZ"/>
        </w:rPr>
        <w:t>] [osobně v sídle Nadačního Fondu/na bankovní účet č. [●], variabilní symbol: [●]].</w:t>
      </w:r>
      <w:r w:rsidRPr="00EC1E49">
        <w:rPr>
          <w:rFonts w:cs="Arial"/>
          <w:lang w:val="cs-CZ"/>
        </w:rPr>
        <w:t xml:space="preserve"> </w:t>
      </w:r>
      <w:r w:rsidRPr="00EC1E49">
        <w:rPr>
          <w:rFonts w:cs="Arial"/>
          <w:highlight w:val="yellow"/>
          <w:lang w:val="cs-CZ"/>
        </w:rPr>
        <w:t>[[První] [Splátka/splátka</w:t>
      </w:r>
      <w:r w:rsidRPr="00EC1E49">
        <w:rPr>
          <w:rFonts w:cs="Arial"/>
          <w:lang w:val="cs-CZ"/>
        </w:rPr>
        <w:t xml:space="preserve">]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Kč (slovy: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korun českých) bude poskytnuta v termínu nejpozději do deseti (10) pracovních dnů od podpisu této smlouvy. </w:t>
      </w:r>
      <w:r w:rsidRPr="00EC1E49">
        <w:rPr>
          <w:rFonts w:cs="Arial"/>
          <w:highlight w:val="yellow"/>
          <w:lang w:val="cs-CZ"/>
        </w:rPr>
        <w:t>[[Druhá</w:t>
      </w:r>
      <w:r w:rsidRPr="00EC1E49">
        <w:rPr>
          <w:rFonts w:cs="Arial"/>
          <w:lang w:val="cs-CZ"/>
        </w:rPr>
        <w:t xml:space="preserve">] splátka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Kč (slovy: </w:t>
      </w:r>
      <w:r w:rsidRPr="00EC1E49">
        <w:rPr>
          <w:rFonts w:cs="Arial"/>
          <w:highlight w:val="yellow"/>
          <w:lang w:val="cs-CZ"/>
        </w:rPr>
        <w:t>[●]</w:t>
      </w:r>
      <w:r w:rsidRPr="00EC1E49">
        <w:rPr>
          <w:rFonts w:cs="Arial"/>
          <w:lang w:val="cs-CZ"/>
        </w:rPr>
        <w:t xml:space="preserve"> korun českých) bude poskytnuta v termínu nejpozději do [</w:t>
      </w:r>
      <w:r w:rsidRPr="00EC1E49">
        <w:rPr>
          <w:rFonts w:cs="Arial"/>
          <w:highlight w:val="yellow"/>
          <w:lang w:val="cs-CZ"/>
        </w:rPr>
        <w:t>tří (3) měsíců</w:t>
      </w:r>
      <w:r w:rsidRPr="00EC1E49">
        <w:rPr>
          <w:rFonts w:cs="Arial"/>
          <w:lang w:val="cs-CZ"/>
        </w:rPr>
        <w:t>] od podpisu této smlouvy. Nadační Fond si vyhrazuje právo kdykoliv požádat Příjemce o prokazatelné vyúčtování poskytnutých finančních prostředků ve formě Nadačního příspěvku a prokázání, jakým způsobem a k jakému účelu byl Nadační příspěvek užit ve lhůtě stanovené Nadačním Fondem. Příjemce se tímto zavazuje výše uvedené vyúčtování a prokázání způsobu a účelu užití Nadačního příspěvku řádně poskytnout Nadačnímu Fondu.</w:t>
      </w:r>
    </w:p>
    <w:p w:rsidR="00A52AD8" w:rsidRPr="00EC1E49" w:rsidRDefault="00A52AD8" w:rsidP="00A52AD8">
      <w:pPr>
        <w:pStyle w:val="Level1"/>
        <w:rPr>
          <w:lang w:val="cs-CZ"/>
        </w:rPr>
      </w:pPr>
      <w:r w:rsidRPr="00EC1E49">
        <w:rPr>
          <w:lang w:val="cs-CZ"/>
        </w:rPr>
        <w:t>Povinnosti Příjemce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použít Nadační příspěvek v souladu s podmínkami stanovenými Nadačním Fondem a touto smlouvou, jinak se zavazuje tento Nadační příspěvek vrátit Nadačnímu Fondu v penězích, a to ve lhůtě stanovené Nadačním Fondem.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uskutečňovat všechny aktivity dle časového harmonogramu a dodržovat Nadačním Fondem schválený rozpočet Projektu, jež jsou přílohou žádosti. V případě odůvodněné potřeby může Příjemce provést změnu věcné skladby nákladů bez souhlasu Nadačního Fondu až do výše [</w:t>
      </w:r>
      <w:r w:rsidRPr="00EC1E49">
        <w:rPr>
          <w:highlight w:val="yellow"/>
          <w:lang w:val="cs-CZ"/>
        </w:rPr>
        <w:t>20</w:t>
      </w:r>
      <w:r w:rsidRPr="00EC1E49">
        <w:rPr>
          <w:lang w:val="cs-CZ"/>
        </w:rPr>
        <w:t>] % schváleného Nadačního příspěvku. Změnu věcné skladby nákladů nad uvedený limit poskytnutých prostředků musí Příjemce Nadačnímu Fondu předem oznámit s odůvodněním navrhované změny; pokud Nadační Fond do [</w:t>
      </w:r>
      <w:r>
        <w:rPr>
          <w:highlight w:val="yellow"/>
          <w:lang w:val="cs-CZ"/>
        </w:rPr>
        <w:t>třiceti</w:t>
      </w:r>
      <w:r w:rsidRPr="00EC1E49">
        <w:rPr>
          <w:highlight w:val="yellow"/>
          <w:lang w:val="cs-CZ"/>
        </w:rPr>
        <w:t xml:space="preserve"> (</w:t>
      </w:r>
      <w:r>
        <w:rPr>
          <w:highlight w:val="yellow"/>
          <w:lang w:val="cs-CZ"/>
        </w:rPr>
        <w:t>30</w:t>
      </w:r>
      <w:r w:rsidRPr="00EC1E49">
        <w:rPr>
          <w:highlight w:val="yellow"/>
          <w:lang w:val="cs-CZ"/>
        </w:rPr>
        <w:t>) pracovních dnů</w:t>
      </w:r>
      <w:r w:rsidRPr="00EC1E49">
        <w:rPr>
          <w:lang w:val="cs-CZ"/>
        </w:rPr>
        <w:t xml:space="preserve">] od obdržení oznámení nesdělí Příjemci, že se změnou souhlasí, má se za to, že se změnou </w:t>
      </w:r>
      <w:r>
        <w:rPr>
          <w:lang w:val="cs-CZ"/>
        </w:rPr>
        <w:t>ne</w:t>
      </w:r>
      <w:r w:rsidRPr="00EC1E49">
        <w:rPr>
          <w:lang w:val="cs-CZ"/>
        </w:rPr>
        <w:t>souhlas</w:t>
      </w:r>
      <w:r>
        <w:rPr>
          <w:lang w:val="cs-CZ"/>
        </w:rPr>
        <w:t>í</w:t>
      </w:r>
      <w:r w:rsidRPr="00EC1E49">
        <w:rPr>
          <w:lang w:val="cs-CZ"/>
        </w:rPr>
        <w:t>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bezodkladně informovat Nadační Fond o všech závažných změnách, které se týkají plnění této smlouvy.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provádět případné změny Projektu pouze s předchozím písemným souhlasem Nadačního Fondu a realizovat Projekt s náležitou péčí, efektivitou a transparentností v souladu s nejlepší praxí v příslušné oblasti a v souladu s touto smlouvou.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je povinen zajistit oddělené vedení Nadačního příspěvku a jeho čerpání ve svém účetnictví tak, aby bylo možné jednoznačně prokázat a přezkoumat použití Nadačního příspěvku k účelu uvedenému v Žádosti.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je povinen vyhovit závěrečnou zprávu o realizaci Projektu, jejíž nedílnou součástí je i závěrečné vyúčtování odpovídající ve všech podstatných náležitostech vzoru v příloze Žádosti (dále jen „</w:t>
      </w:r>
      <w:r w:rsidRPr="00EC1E49">
        <w:rPr>
          <w:b/>
          <w:lang w:val="cs-CZ"/>
        </w:rPr>
        <w:t>Závěrečná zpráva</w:t>
      </w:r>
      <w:r w:rsidRPr="00EC1E49">
        <w:rPr>
          <w:lang w:val="cs-CZ"/>
        </w:rPr>
        <w:t>“).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Závěrečnou zprávu Příjemce zašle Nadačnímu Fondu do [</w:t>
      </w:r>
      <w:r w:rsidRPr="00EC1E49">
        <w:rPr>
          <w:highlight w:val="yellow"/>
          <w:lang w:val="cs-CZ"/>
        </w:rPr>
        <w:t>30</w:t>
      </w:r>
      <w:r w:rsidRPr="00EC1E49">
        <w:rPr>
          <w:lang w:val="cs-CZ"/>
        </w:rPr>
        <w:t>] dnů od ukončení Projektu.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Nevyčerpané prostředky Nadačního příspěvku je Příjemce povinen vrátit do [</w:t>
      </w:r>
      <w:r w:rsidRPr="00EC1E49">
        <w:rPr>
          <w:highlight w:val="yellow"/>
          <w:lang w:val="cs-CZ"/>
        </w:rPr>
        <w:t>15</w:t>
      </w:r>
      <w:r w:rsidRPr="00EC1E49">
        <w:rPr>
          <w:lang w:val="cs-CZ"/>
        </w:rPr>
        <w:t xml:space="preserve">] dnů od ukončení Projektu. </w:t>
      </w:r>
      <w:r w:rsidRPr="00C75597">
        <w:rPr>
          <w:lang w:val="cs-CZ"/>
        </w:rPr>
        <w:t>Nevyčerpané prostředky do výše 1.000,- Kč (slovy: jeden tisíc korun českých) se nevracejí.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je povinen vrátit prostředky Nadačního příspěvku, u kterých bude prokázáno, že nebyly použity v souladu s rozpočtem Projektu, a to do 15 dnů ode dne doručení výzvy Nadačního Fondu k jejich vrácení.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Nad rámec povinností dle předchozích ustanovení se Příjemce zavazuje uchovat veškeré dokumenty související s přípravou a realizací Projektu v souladu s právními předpisy, zachovat a zajistit zachování veškeré dokumentace související s Projektem po dobu nejméně pěti (5) let od ukončení Projektu a tyto kdykoliv předložit Nadačnímu Fondu, bude-li k tomu Nadačním Fondem vyzván.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se zavazuje náležitým způsobem prezentovat Nadační příspěvek poskytnutý Nadačním Fondem, a to zejména uvedením ve výroční zprávě Příjemce anebo v rozsahu a způsobem dle pokynů Nadačního Fondu.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Příjemce prohlašuje, že ke dni podpisu této smlouvy je i nadále úplné a pravdivé čestné prohlášení, které Příjemce předložil Nadačnímu Fondu v rámci posouzení Žádosti (dále jen „</w:t>
      </w:r>
      <w:r w:rsidRPr="00EC1E49">
        <w:rPr>
          <w:b/>
          <w:lang w:val="cs-CZ"/>
        </w:rPr>
        <w:t>Čestné prohlášení</w:t>
      </w:r>
      <w:r w:rsidRPr="00EC1E49">
        <w:rPr>
          <w:lang w:val="cs-CZ"/>
        </w:rPr>
        <w:t xml:space="preserve">“). Příjemce je současně povinen učinit vše pro to, aby Čestné prohlášení bylo úplné a pravdivé, a to po celou dobu platnosti této smlouvy. V případě, že nastane jakákoli skutečnost, v </w:t>
      </w:r>
      <w:proofErr w:type="gramStart"/>
      <w:r w:rsidRPr="00EC1E49">
        <w:rPr>
          <w:lang w:val="cs-CZ"/>
        </w:rPr>
        <w:t>důsledku</w:t>
      </w:r>
      <w:proofErr w:type="gramEnd"/>
      <w:r w:rsidRPr="00EC1E49">
        <w:rPr>
          <w:lang w:val="cs-CZ"/>
        </w:rPr>
        <w:t xml:space="preserve"> které se stane Čestné prohlášení v jakékoli jeho části neúplným či nepravdivým, je Příjemce povinen o této skutečnosti bez zbytečného odkladu informovat Nadační Fond, nejpozději však do deseti (10) pracovních dnů od zjištění okolností zakládajících změnu údajů uvedených v Čestném prohlášení. Nepravdivost, či neúplnost informací obsažených v Čestném prohlášení, či nesjednání nápravy v přiměřené lhůtě Příjemcem, zakládá právo Nadačního Fondu nevyplatit již schválený Nadační příspěvek, či požadovat vrácení již vyplaceného Nadačního příspěvku kdykoli v budoucnu zpět v celé jeho výši. </w:t>
      </w:r>
    </w:p>
    <w:p w:rsidR="00A52AD8" w:rsidRPr="00EC1E49" w:rsidRDefault="00A52AD8" w:rsidP="00A52AD8">
      <w:pPr>
        <w:pStyle w:val="Level1"/>
        <w:rPr>
          <w:lang w:val="cs-CZ"/>
        </w:rPr>
      </w:pPr>
      <w:r>
        <w:rPr>
          <w:lang w:val="cs-CZ"/>
        </w:rPr>
        <w:t>Zpracování osobních údajů</w:t>
      </w:r>
    </w:p>
    <w:p w:rsidR="00A52AD8" w:rsidRPr="00287085" w:rsidRDefault="00A52AD8" w:rsidP="00A52AD8">
      <w:pPr>
        <w:pStyle w:val="Level2ArialNotBold"/>
        <w:rPr>
          <w:lang w:val="cs-CZ"/>
        </w:rPr>
      </w:pPr>
      <w:r w:rsidRPr="00287085">
        <w:rPr>
          <w:color w:val="000000" w:themeColor="text1"/>
          <w:lang w:val="cs-CZ"/>
        </w:rPr>
        <w:t>Nadační fond zpracovává osobní údaje v souladu s příslušnými právními předpisy, zejména obecným nařízením o ochraně osobních údajů, zákonem č. 110/2019 Sb., o zpracování osobních údajů, v platném znění a zákonem č. 106/1999 Sb., o svobodném přístupu k informacím, v platném znění. Nadační fond informoval Příjemce o rozsahu, způsobech, právním základu zpracování jeho osobních údajů a o souvisejících právech Příjemce v dokumentu Informace o zpracovávání osobních údajů, který byl Příjemci poskytnut před uzavřením této smlouvy [</w:t>
      </w:r>
      <w:r w:rsidRPr="00287085">
        <w:rPr>
          <w:color w:val="000000" w:themeColor="text1"/>
          <w:highlight w:val="yellow"/>
          <w:lang w:val="cs-CZ"/>
        </w:rPr>
        <w:t>a je rovněž přílohou této smlouvy</w:t>
      </w:r>
      <w:r w:rsidRPr="00287085">
        <w:rPr>
          <w:color w:val="000000" w:themeColor="text1"/>
          <w:lang w:val="cs-CZ"/>
        </w:rPr>
        <w:t>].</w:t>
      </w:r>
    </w:p>
    <w:p w:rsidR="00A52AD8" w:rsidRPr="00EC1E49" w:rsidRDefault="00A52AD8" w:rsidP="00A52AD8">
      <w:pPr>
        <w:pStyle w:val="Level1"/>
        <w:rPr>
          <w:lang w:val="cs-CZ"/>
        </w:rPr>
      </w:pPr>
      <w:r w:rsidRPr="00EC1E49">
        <w:rPr>
          <w:lang w:val="cs-CZ"/>
        </w:rPr>
        <w:t>Porušení smluvních podmínek, ukončení smlouvy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V případě, že Příjemce nesplní povinnosti vyplývající z této smlouvy, je Nadační Fond oprávněn vyzvat Příjemce k nápravě a stanovit přiměřenou lhůtu k této nápravě. 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Pokud Příjemce není schopen na výzvu Nadačního Fondu doložit požadovaným způsobem v souladu s touto smlouvou použití Nadačního příspěvku nebo neumožní-li kontrolu použití Nadačního příspěvku, je Příjemce na výzvu na základě rozhodnutí správní rady povinen nevyužitou část Nadačního příspěvku anebo část Nadačního příspěvku, ohledně které neprokáže užití v souladu s účelem této smlouvy, neprodleně, nejpozději do [</w:t>
      </w:r>
      <w:r w:rsidRPr="00EC1E49">
        <w:rPr>
          <w:highlight w:val="yellow"/>
          <w:lang w:val="cs-CZ"/>
        </w:rPr>
        <w:t>15</w:t>
      </w:r>
      <w:r w:rsidRPr="00EC1E49">
        <w:rPr>
          <w:lang w:val="cs-CZ"/>
        </w:rPr>
        <w:t>] dnů, vrátit Nadačnímu Fondu.</w:t>
      </w:r>
    </w:p>
    <w:p w:rsidR="00A52AD8" w:rsidRPr="000E213D" w:rsidRDefault="00A52AD8" w:rsidP="00A52AD8">
      <w:pPr>
        <w:pStyle w:val="Level2ArialNotBold"/>
        <w:rPr>
          <w:lang w:val="cs-CZ"/>
        </w:rPr>
      </w:pPr>
      <w:r w:rsidRPr="000E213D">
        <w:rPr>
          <w:lang w:val="cs-CZ"/>
        </w:rPr>
        <w:t>Nadační Fond je oprávněn v odůvodněných případech, zejména v případě porušení podmínek stanovených Nadačním Fondem nebo touto smlouvou k použití Nadačního příspěvku Příjemcem, vyžadovat po Příjemci okamžité zastavení čerpání Nadačního příspěvku anebo vrácení Nadačního příspěvku Nadačnímu Fondu (a to v celé výši či částečně, dle rozhodnutí správní rady) a dále je Nadační Fond oprávněn od smlouvy odstoupit. Příjemce je v takovém případě povinen vrátit Nadační příspěvek nebo jeho část neprodleně, nejpozději do [</w:t>
      </w:r>
      <w:r w:rsidRPr="000E213D">
        <w:rPr>
          <w:highlight w:val="yellow"/>
          <w:lang w:val="cs-CZ"/>
        </w:rPr>
        <w:t>15</w:t>
      </w:r>
      <w:r w:rsidRPr="000E213D">
        <w:rPr>
          <w:lang w:val="cs-CZ"/>
        </w:rPr>
        <w:t xml:space="preserve">] dnů, vrátit Nadačnímu </w:t>
      </w:r>
      <w:proofErr w:type="spellStart"/>
      <w:r w:rsidRPr="000E213D">
        <w:rPr>
          <w:lang w:val="cs-CZ"/>
        </w:rPr>
        <w:t>Fondu.Je-li</w:t>
      </w:r>
      <w:proofErr w:type="spellEnd"/>
      <w:r w:rsidRPr="000E213D">
        <w:rPr>
          <w:lang w:val="cs-CZ"/>
        </w:rPr>
        <w:t xml:space="preserve"> Příjemce v prodlení s vrácením Nadačního příspěvku podle čl. IV odst. 2 a 3 této smlouvy, je Nadační Fond oprávněn požadovat smluvní pokutu ve výši 0,05 % poskytnutého Nadačního příspěvku za každý započatý den prodlení.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 xml:space="preserve">Příjemce se zavazuje smluvní pokutu uhradit vždy do </w:t>
      </w:r>
      <w:r w:rsidRPr="00EC1E49">
        <w:rPr>
          <w:highlight w:val="yellow"/>
          <w:lang w:val="cs-CZ"/>
        </w:rPr>
        <w:t>[patnácti (15) dnů</w:t>
      </w:r>
      <w:r w:rsidRPr="00EC1E49">
        <w:rPr>
          <w:lang w:val="cs-CZ"/>
        </w:rPr>
        <w:t>] ode dne doručení výzvy Nadačního Fondu k její úhradě.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Zaplacení smluvní pokuty nemá vliv na povinnost Příjemce zaplatit Nadačnímu Fondu úroky z prodlení a/nebo nahradit vzniklou škodu.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Pokud jedna ze smluvních stran zjistí, že smlouvu nelze efektivně nebo správně plnit, pak je povinna projednat záležitost s druhou smluvní stranou.</w:t>
      </w:r>
    </w:p>
    <w:p w:rsidR="00A52AD8" w:rsidRPr="00EC1E49" w:rsidRDefault="00A52AD8" w:rsidP="00A52AD8">
      <w:pPr>
        <w:pStyle w:val="Level1"/>
        <w:rPr>
          <w:lang w:val="cs-CZ"/>
        </w:rPr>
      </w:pPr>
      <w:r w:rsidRPr="00EC1E49">
        <w:rPr>
          <w:lang w:val="cs-CZ"/>
        </w:rPr>
        <w:t>Řízení a urovnávání sporů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Smluvní strany se zavazují, že budou předcházet možným sporům a v případě sporů se budou snažit o dohodu při respektování právních předpisů České republiky.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Všechny spory vznikající ze smlouvy a v souvislostí s ní budou rozhodovány příslušnými soudy České republiky.</w:t>
      </w:r>
    </w:p>
    <w:p w:rsidR="00A52AD8" w:rsidRPr="00EC1E49" w:rsidRDefault="00A52AD8" w:rsidP="00A52AD8">
      <w:pPr>
        <w:pStyle w:val="Level1"/>
        <w:rPr>
          <w:lang w:val="cs-CZ"/>
        </w:rPr>
        <w:sectPr w:rsidR="00A52AD8" w:rsidRPr="00EC1E49" w:rsidSect="00EC1E49">
          <w:footerReference w:type="first" r:id="rId5"/>
          <w:pgSz w:w="11906" w:h="16838" w:code="9"/>
          <w:pgMar w:top="1746" w:right="1418" w:bottom="1304" w:left="1418" w:header="765" w:footer="482" w:gutter="0"/>
          <w:cols w:space="708"/>
          <w:titlePg/>
          <w:docGrid w:linePitch="360"/>
        </w:sectPr>
      </w:pPr>
      <w:r w:rsidRPr="00EC1E49">
        <w:rPr>
          <w:lang w:val="cs-CZ"/>
        </w:rPr>
        <w:t>Závěrečná ustanovení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Tato smlouva nabývá platnosti [</w:t>
      </w:r>
      <w:r w:rsidRPr="00EC1E49">
        <w:rPr>
          <w:highlight w:val="yellow"/>
          <w:lang w:val="cs-CZ"/>
        </w:rPr>
        <w:t>a účinnosti</w:t>
      </w:r>
      <w:r w:rsidRPr="00EC1E49">
        <w:rPr>
          <w:lang w:val="cs-CZ"/>
        </w:rPr>
        <w:t>] v den podpisu smluvních stran [</w:t>
      </w:r>
      <w:r w:rsidRPr="00EC1E49">
        <w:rPr>
          <w:highlight w:val="yellow"/>
          <w:lang w:val="cs-CZ"/>
        </w:rPr>
        <w:t xml:space="preserve">a účinnosti dnem zveřejnění v registru </w:t>
      </w:r>
      <w:proofErr w:type="gramStart"/>
      <w:r w:rsidRPr="00EC1E49">
        <w:rPr>
          <w:highlight w:val="yellow"/>
          <w:lang w:val="cs-CZ"/>
        </w:rPr>
        <w:t>smluv</w:t>
      </w:r>
      <w:r w:rsidRPr="00EC1E49">
        <w:rPr>
          <w:lang w:val="cs-CZ"/>
        </w:rPr>
        <w:t>]</w:t>
      </w:r>
      <w:r>
        <w:rPr>
          <w:lang w:val="cs-CZ"/>
        </w:rPr>
        <w:t>*</w:t>
      </w:r>
      <w:proofErr w:type="gramEnd"/>
      <w:r w:rsidRPr="00EC1E49">
        <w:rPr>
          <w:lang w:val="cs-CZ"/>
        </w:rPr>
        <w:t xml:space="preserve"> .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[</w:t>
      </w:r>
      <w:r w:rsidRPr="00EC1E49">
        <w:rPr>
          <w:highlight w:val="yellow"/>
          <w:lang w:val="cs-CZ"/>
        </w:rPr>
        <w:t>Smluvní strany souhlasí se zveřejnění této smlouvy, všech jejích náležitostí, za účelem splnění povinností uložených platnými právními předpisy České republiky, zejm. zákonem č. 340/2015 Sb., o zvláštních podmínkách účinností některých smluv, uveřejňování těchto smluv a o registru smluv, a dále pokyny zřizovatel Příjemce</w:t>
      </w:r>
      <w:r w:rsidRPr="00EC1E49">
        <w:rPr>
          <w:lang w:val="cs-CZ"/>
        </w:rPr>
        <w:t>.] *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[</w:t>
      </w:r>
      <w:r w:rsidRPr="00EC1E49">
        <w:rPr>
          <w:highlight w:val="yellow"/>
          <w:lang w:val="cs-CZ"/>
        </w:rPr>
        <w:t>Smluvní strany se dohodly, že smlouvu v registru smluv zveřejní Příjemce, a to bez zbytečného odkladu, nejpozději však do 30 dnů od uzavření této smlouvy. Nebude-li tato smlouva uveřejněna prostřednictvím registru smluv ani do tří měsíců ode dne jejího podpisu oběma stranami, je tato smlouva zrušena posledním dnem uvedené tříměsíční lhůty, a to od samého počátku. Pokud byl Příjemci vyplacen Nadační příspěvek, musí ho vrátit Nadačnímu Fondu bez zbytečného odkladu po uplynutí tříměsíční lhůty</w:t>
      </w:r>
      <w:r w:rsidRPr="00EC1E49">
        <w:rPr>
          <w:lang w:val="cs-CZ"/>
        </w:rPr>
        <w:t>.] *</w:t>
      </w:r>
    </w:p>
    <w:p w:rsidR="00A52AD8" w:rsidRPr="00EC1E49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Všechny změny smlouvy je možno provádět pouze na základě číslovaných písemných dodatků.</w:t>
      </w:r>
    </w:p>
    <w:p w:rsidR="00A52AD8" w:rsidRDefault="00A52AD8" w:rsidP="00A52AD8">
      <w:pPr>
        <w:pStyle w:val="Level2ArialNotBold"/>
        <w:rPr>
          <w:lang w:val="cs-CZ"/>
        </w:rPr>
      </w:pPr>
      <w:r w:rsidRPr="00EC1E49">
        <w:rPr>
          <w:lang w:val="cs-CZ"/>
        </w:rPr>
        <w:t>Smlouva je vyhotovena ve dvou stejnopisech. Jedno vyhotovení patří Příjemci, jedno si ponechá Nadační Fond.</w:t>
      </w:r>
    </w:p>
    <w:p w:rsidR="00A52AD8" w:rsidRDefault="00A52AD8" w:rsidP="00A52AD8">
      <w:pPr>
        <w:pStyle w:val="Body2"/>
        <w:rPr>
          <w:lang w:val="cs-CZ"/>
        </w:rPr>
      </w:pPr>
    </w:p>
    <w:p w:rsidR="00A52AD8" w:rsidRDefault="00A52AD8" w:rsidP="00A52AD8">
      <w:pPr>
        <w:pStyle w:val="FooterLine"/>
        <w:rPr>
          <w:rFonts w:cs="Arial"/>
          <w:szCs w:val="16"/>
        </w:rPr>
      </w:pPr>
      <w:r w:rsidRPr="00A03E67">
        <w:rPr>
          <w:rFonts w:cs="Arial"/>
          <w:szCs w:val="16"/>
        </w:rPr>
        <w:t>*</w:t>
      </w:r>
      <w:r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Uplatní</w:t>
      </w:r>
      <w:proofErr w:type="spellEnd"/>
      <w:r w:rsidRPr="000159B9">
        <w:rPr>
          <w:rFonts w:cs="Arial"/>
          <w:szCs w:val="16"/>
        </w:rPr>
        <w:t xml:space="preserve"> se </w:t>
      </w:r>
      <w:proofErr w:type="spellStart"/>
      <w:r w:rsidRPr="000159B9">
        <w:rPr>
          <w:rFonts w:cs="Arial"/>
          <w:szCs w:val="16"/>
        </w:rPr>
        <w:t>pouze</w:t>
      </w:r>
      <w:proofErr w:type="spellEnd"/>
      <w:r w:rsidRPr="000159B9">
        <w:rPr>
          <w:rFonts w:cs="Arial"/>
          <w:szCs w:val="16"/>
        </w:rPr>
        <w:t xml:space="preserve"> v </w:t>
      </w:r>
      <w:proofErr w:type="spellStart"/>
      <w:r w:rsidRPr="000159B9">
        <w:rPr>
          <w:rFonts w:cs="Arial"/>
          <w:szCs w:val="16"/>
        </w:rPr>
        <w:t>případě</w:t>
      </w:r>
      <w:proofErr w:type="spellEnd"/>
      <w:r w:rsidRPr="000159B9">
        <w:rPr>
          <w:rFonts w:cs="Arial"/>
          <w:szCs w:val="16"/>
        </w:rPr>
        <w:t xml:space="preserve">, je-li </w:t>
      </w:r>
      <w:proofErr w:type="spellStart"/>
      <w:r w:rsidRPr="000159B9">
        <w:rPr>
          <w:rFonts w:cs="Arial"/>
          <w:szCs w:val="16"/>
        </w:rPr>
        <w:t>Příjemce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osobou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povinnou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ke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zveřejnění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smluv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dle</w:t>
      </w:r>
      <w:proofErr w:type="spellEnd"/>
      <w:r w:rsidRPr="000159B9">
        <w:rPr>
          <w:rFonts w:cs="Arial"/>
          <w:szCs w:val="16"/>
        </w:rPr>
        <w:t xml:space="preserve"> </w:t>
      </w:r>
      <w:proofErr w:type="spellStart"/>
      <w:r w:rsidRPr="000159B9">
        <w:rPr>
          <w:rFonts w:cs="Arial"/>
          <w:szCs w:val="16"/>
        </w:rPr>
        <w:t>zákona</w:t>
      </w:r>
      <w:proofErr w:type="spellEnd"/>
      <w:r w:rsidRPr="000159B9">
        <w:rPr>
          <w:rFonts w:cs="Arial"/>
          <w:szCs w:val="16"/>
        </w:rPr>
        <w:t xml:space="preserve"> č. 340/2015 Sb.</w:t>
      </w:r>
    </w:p>
    <w:p w:rsidR="00A52AD8" w:rsidRDefault="00A52AD8" w:rsidP="00A52AD8">
      <w:pPr>
        <w:pStyle w:val="Body2"/>
        <w:rPr>
          <w:lang w:val="cs-CZ"/>
        </w:rPr>
      </w:pPr>
    </w:p>
    <w:p w:rsidR="00A52AD8" w:rsidRPr="000E213D" w:rsidRDefault="00A52AD8" w:rsidP="00A52AD8">
      <w:pPr>
        <w:pStyle w:val="Body2"/>
        <w:rPr>
          <w:lang w:val="cs-CZ"/>
        </w:rPr>
      </w:pPr>
    </w:p>
    <w:p w:rsidR="00A52AD8" w:rsidRDefault="00A52AD8" w:rsidP="00A52AD8">
      <w:pPr>
        <w:pStyle w:val="Body2"/>
        <w:rPr>
          <w:lang w:val="cs-CZ"/>
        </w:rPr>
      </w:pPr>
    </w:p>
    <w:p w:rsidR="00A52AD8" w:rsidRPr="000E213D" w:rsidRDefault="00A52AD8" w:rsidP="00A52AD8">
      <w:pPr>
        <w:pStyle w:val="Body2"/>
        <w:rPr>
          <w:lang w:val="cs-CZ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A52AD8" w:rsidRPr="00EC1E49" w:rsidTr="00896900"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 xml:space="preserve">V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  <w:r w:rsidRPr="00EC1E49">
              <w:rPr>
                <w:color w:val="000000" w:themeColor="text1"/>
                <w:sz w:val="20"/>
                <w:szCs w:val="20"/>
              </w:rPr>
              <w:t xml:space="preserve">, dne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</w:p>
        </w:tc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 xml:space="preserve">V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  <w:r w:rsidRPr="00EC1E49">
              <w:rPr>
                <w:color w:val="000000" w:themeColor="text1"/>
                <w:sz w:val="20"/>
                <w:szCs w:val="20"/>
              </w:rPr>
              <w:t xml:space="preserve">, dne </w:t>
            </w:r>
            <w:r w:rsidRPr="00EC1E49">
              <w:rPr>
                <w:color w:val="000000" w:themeColor="text1"/>
                <w:sz w:val="20"/>
                <w:szCs w:val="20"/>
                <w:highlight w:val="yellow"/>
              </w:rPr>
              <w:t>[●]</w:t>
            </w:r>
          </w:p>
        </w:tc>
      </w:tr>
      <w:tr w:rsidR="00A52AD8" w:rsidRPr="00EC1E49" w:rsidTr="00896900">
        <w:trPr>
          <w:trHeight w:val="819"/>
        </w:trPr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rPr>
                <w:color w:val="000000" w:themeColor="text1"/>
                <w:sz w:val="20"/>
                <w:szCs w:val="20"/>
              </w:rPr>
            </w:pPr>
          </w:p>
        </w:tc>
      </w:tr>
      <w:tr w:rsidR="00A52AD8" w:rsidRPr="00EC1E49" w:rsidTr="00896900">
        <w:trPr>
          <w:trHeight w:val="283"/>
        </w:trPr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jc w:val="center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>____________________________</w:t>
            </w:r>
            <w:r w:rsidRPr="00EC1E49">
              <w:rPr>
                <w:color w:val="000000" w:themeColor="text1"/>
                <w:sz w:val="20"/>
                <w:szCs w:val="20"/>
              </w:rPr>
              <w:br/>
              <w:t>Nadační fond</w:t>
            </w:r>
          </w:p>
        </w:tc>
        <w:tc>
          <w:tcPr>
            <w:tcW w:w="4505" w:type="dxa"/>
          </w:tcPr>
          <w:p w:rsidR="00A52AD8" w:rsidRPr="00EC1E49" w:rsidRDefault="00A52AD8" w:rsidP="00896900">
            <w:pPr>
              <w:pStyle w:val="Zkladntext"/>
              <w:shd w:val="clear" w:color="auto" w:fill="auto"/>
              <w:tabs>
                <w:tab w:val="left" w:pos="360"/>
              </w:tabs>
              <w:spacing w:after="140"/>
              <w:jc w:val="center"/>
              <w:rPr>
                <w:color w:val="000000" w:themeColor="text1"/>
                <w:sz w:val="20"/>
                <w:szCs w:val="20"/>
              </w:rPr>
            </w:pPr>
            <w:r w:rsidRPr="00EC1E49">
              <w:rPr>
                <w:color w:val="000000" w:themeColor="text1"/>
                <w:sz w:val="20"/>
                <w:szCs w:val="20"/>
              </w:rPr>
              <w:t>____________________________</w:t>
            </w:r>
            <w:r w:rsidRPr="00EC1E49">
              <w:rPr>
                <w:color w:val="000000" w:themeColor="text1"/>
                <w:sz w:val="20"/>
                <w:szCs w:val="20"/>
              </w:rPr>
              <w:br/>
              <w:t>Příjemce</w:t>
            </w:r>
          </w:p>
        </w:tc>
      </w:tr>
    </w:tbl>
    <w:p w:rsidR="00A52AD8" w:rsidRPr="00EC1E49" w:rsidRDefault="00A52AD8" w:rsidP="00A52AD8">
      <w:pPr>
        <w:pStyle w:val="Body"/>
        <w:rPr>
          <w:rFonts w:cs="Arial"/>
          <w:lang w:val="cs-CZ"/>
        </w:rPr>
      </w:pPr>
    </w:p>
    <w:p w:rsidR="002D5D0B" w:rsidRDefault="002D5D0B"/>
    <w:sectPr w:rsidR="002D5D0B" w:rsidSect="00EC1E49">
      <w:type w:val="continuous"/>
      <w:pgSz w:w="11906" w:h="16838" w:code="9"/>
      <w:pgMar w:top="1746" w:right="1418" w:bottom="1134" w:left="1418" w:header="765" w:footer="482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placeholder/>
      <w:temporary/>
      <w:showingPlcHdr/>
      <w15:appearance w15:val="hidden"/>
    </w:sdtPr>
    <w:sdtEndPr/>
    <w:sdtContent>
      <w:p w:rsidR="00A679E8" w:rsidRDefault="0056489A">
        <w:pPr>
          <w:pStyle w:val="Zpat"/>
        </w:pPr>
        <w:r>
          <w:rPr>
            <w:lang w:val="cs-CZ"/>
          </w:rPr>
          <w:t>[Sem zadejte text.]</w:t>
        </w:r>
      </w:p>
    </w:sdtContent>
  </w:sdt>
  <w:p w:rsidR="00EC1E49" w:rsidRDefault="0056489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E18CE"/>
    <w:multiLevelType w:val="hybridMultilevel"/>
    <w:tmpl w:val="0BC039CE"/>
    <w:lvl w:ilvl="0" w:tplc="DC3C73A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D1232"/>
    <w:multiLevelType w:val="multilevel"/>
    <w:tmpl w:val="A9C0A4AE"/>
    <w:lvl w:ilvl="0">
      <w:start w:val="1"/>
      <w:numFmt w:val="decimal"/>
      <w:pStyle w:val="Level1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247"/>
        </w:tabs>
        <w:ind w:left="1247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041"/>
        </w:tabs>
        <w:ind w:left="2041" w:hanging="794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722"/>
        </w:tabs>
        <w:ind w:left="2722" w:hanging="681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3289"/>
        </w:tabs>
        <w:ind w:left="3289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AD8"/>
    <w:rsid w:val="002D5D0B"/>
    <w:rsid w:val="00A5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FF6470"/>
  <w15:chartTrackingRefBased/>
  <w15:docId w15:val="{F9F66C6D-2CC4-41AF-97C9-C8F960BB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52AD8"/>
    <w:pPr>
      <w:spacing w:after="0" w:line="280" w:lineRule="atLeast"/>
    </w:pPr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qFormat/>
    <w:rsid w:val="00A52AD8"/>
    <w:pPr>
      <w:spacing w:after="137"/>
      <w:jc w:val="both"/>
    </w:pPr>
  </w:style>
  <w:style w:type="paragraph" w:customStyle="1" w:styleId="Body2">
    <w:name w:val="Body 2"/>
    <w:basedOn w:val="Normln"/>
    <w:link w:val="Body2Char"/>
    <w:qFormat/>
    <w:rsid w:val="00A52AD8"/>
    <w:pPr>
      <w:spacing w:after="137"/>
      <w:ind w:left="1247"/>
      <w:jc w:val="both"/>
    </w:pPr>
  </w:style>
  <w:style w:type="paragraph" w:customStyle="1" w:styleId="Level1">
    <w:name w:val="Level 1"/>
    <w:basedOn w:val="Normln"/>
    <w:next w:val="Normln"/>
    <w:qFormat/>
    <w:rsid w:val="00A52AD8"/>
    <w:pPr>
      <w:numPr>
        <w:numId w:val="1"/>
      </w:numPr>
      <w:spacing w:before="280" w:after="137"/>
      <w:jc w:val="both"/>
      <w:outlineLvl w:val="0"/>
    </w:pPr>
    <w:rPr>
      <w:b/>
      <w:sz w:val="22"/>
    </w:rPr>
  </w:style>
  <w:style w:type="paragraph" w:customStyle="1" w:styleId="Level2">
    <w:name w:val="Level 2"/>
    <w:basedOn w:val="Normln"/>
    <w:next w:val="Body2"/>
    <w:qFormat/>
    <w:rsid w:val="00A52AD8"/>
    <w:pPr>
      <w:numPr>
        <w:ilvl w:val="1"/>
        <w:numId w:val="1"/>
      </w:numPr>
      <w:spacing w:after="137"/>
      <w:jc w:val="both"/>
      <w:outlineLvl w:val="1"/>
    </w:pPr>
    <w:rPr>
      <w:b/>
      <w:sz w:val="21"/>
    </w:rPr>
  </w:style>
  <w:style w:type="paragraph" w:customStyle="1" w:styleId="Level3">
    <w:name w:val="Level 3"/>
    <w:basedOn w:val="Normln"/>
    <w:next w:val="Normln"/>
    <w:link w:val="Level3Char"/>
    <w:qFormat/>
    <w:rsid w:val="00A52AD8"/>
    <w:pPr>
      <w:numPr>
        <w:ilvl w:val="2"/>
        <w:numId w:val="1"/>
      </w:numPr>
      <w:spacing w:after="137"/>
      <w:jc w:val="both"/>
      <w:outlineLvl w:val="2"/>
    </w:pPr>
  </w:style>
  <w:style w:type="paragraph" w:customStyle="1" w:styleId="Level4">
    <w:name w:val="Level 4"/>
    <w:basedOn w:val="Normln"/>
    <w:next w:val="Normln"/>
    <w:qFormat/>
    <w:rsid w:val="00A52AD8"/>
    <w:pPr>
      <w:numPr>
        <w:ilvl w:val="3"/>
        <w:numId w:val="1"/>
      </w:numPr>
      <w:spacing w:after="137"/>
      <w:jc w:val="both"/>
    </w:pPr>
  </w:style>
  <w:style w:type="paragraph" w:customStyle="1" w:styleId="Level5">
    <w:name w:val="Level 5"/>
    <w:basedOn w:val="Normln"/>
    <w:next w:val="Normln"/>
    <w:rsid w:val="00A52AD8"/>
    <w:pPr>
      <w:numPr>
        <w:ilvl w:val="4"/>
        <w:numId w:val="1"/>
      </w:numPr>
      <w:spacing w:after="137"/>
      <w:jc w:val="both"/>
    </w:pPr>
  </w:style>
  <w:style w:type="paragraph" w:customStyle="1" w:styleId="Level6">
    <w:name w:val="Level 6"/>
    <w:basedOn w:val="Normln"/>
    <w:next w:val="Normln"/>
    <w:rsid w:val="00A52AD8"/>
    <w:pPr>
      <w:numPr>
        <w:ilvl w:val="5"/>
        <w:numId w:val="1"/>
      </w:numPr>
      <w:spacing w:after="137"/>
      <w:jc w:val="both"/>
    </w:pPr>
  </w:style>
  <w:style w:type="paragraph" w:customStyle="1" w:styleId="Parties">
    <w:name w:val="Parties"/>
    <w:basedOn w:val="Normln"/>
    <w:link w:val="PartiesChar"/>
    <w:qFormat/>
    <w:rsid w:val="00A52AD8"/>
    <w:pPr>
      <w:spacing w:after="137"/>
      <w:jc w:val="both"/>
    </w:pPr>
  </w:style>
  <w:style w:type="paragraph" w:styleId="Nzev">
    <w:name w:val="Title"/>
    <w:basedOn w:val="Normln"/>
    <w:next w:val="Body"/>
    <w:link w:val="NzevChar"/>
    <w:uiPriority w:val="1"/>
    <w:qFormat/>
    <w:rsid w:val="00A52AD8"/>
    <w:pPr>
      <w:keepNext/>
      <w:spacing w:after="240"/>
      <w:jc w:val="both"/>
      <w:outlineLvl w:val="0"/>
    </w:pPr>
    <w:rPr>
      <w:rFonts w:cs="Arial"/>
      <w:b/>
      <w:bCs/>
      <w:kern w:val="28"/>
      <w:sz w:val="25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A52AD8"/>
    <w:rPr>
      <w:rFonts w:ascii="Arial" w:eastAsia="Times New Roman" w:hAnsi="Arial" w:cs="Arial"/>
      <w:b/>
      <w:bCs/>
      <w:kern w:val="28"/>
      <w:sz w:val="25"/>
      <w:szCs w:val="32"/>
      <w:lang w:val="en-GB"/>
    </w:rPr>
  </w:style>
  <w:style w:type="paragraph" w:customStyle="1" w:styleId="FooterLine">
    <w:name w:val="Footer_Line"/>
    <w:basedOn w:val="Normln"/>
    <w:rsid w:val="00A52AD8"/>
    <w:pPr>
      <w:pBdr>
        <w:top w:val="single" w:sz="4" w:space="1" w:color="auto"/>
      </w:pBdr>
      <w:spacing w:line="240" w:lineRule="exact"/>
    </w:pPr>
    <w:rPr>
      <w:color w:val="4D4F53"/>
      <w:sz w:val="16"/>
    </w:rPr>
  </w:style>
  <w:style w:type="paragraph" w:customStyle="1" w:styleId="Level2ArialNotBold">
    <w:name w:val="Level 2 + Arial Not Bold"/>
    <w:basedOn w:val="Level2"/>
    <w:next w:val="Body2"/>
    <w:qFormat/>
    <w:rsid w:val="00A52AD8"/>
    <w:rPr>
      <w:b w:val="0"/>
      <w:sz w:val="20"/>
    </w:rPr>
  </w:style>
  <w:style w:type="paragraph" w:styleId="Zpat">
    <w:name w:val="footer"/>
    <w:basedOn w:val="Normln"/>
    <w:link w:val="ZpatChar"/>
    <w:uiPriority w:val="99"/>
    <w:rsid w:val="00A52AD8"/>
    <w:pPr>
      <w:spacing w:after="38" w:line="120" w:lineRule="exact"/>
      <w:jc w:val="both"/>
    </w:pPr>
    <w:rPr>
      <w:kern w:val="16"/>
      <w:sz w:val="11"/>
    </w:rPr>
  </w:style>
  <w:style w:type="character" w:customStyle="1" w:styleId="ZpatChar">
    <w:name w:val="Zápatí Char"/>
    <w:basedOn w:val="Standardnpsmoodstavce"/>
    <w:link w:val="Zpat"/>
    <w:uiPriority w:val="99"/>
    <w:rsid w:val="00A52AD8"/>
    <w:rPr>
      <w:rFonts w:ascii="Arial" w:eastAsia="Times New Roman" w:hAnsi="Arial" w:cs="Times New Roman"/>
      <w:kern w:val="16"/>
      <w:sz w:val="11"/>
      <w:szCs w:val="20"/>
      <w:lang w:val="en-GB"/>
    </w:rPr>
  </w:style>
  <w:style w:type="paragraph" w:customStyle="1" w:styleId="Level7">
    <w:name w:val="Level 7"/>
    <w:basedOn w:val="Normln"/>
    <w:rsid w:val="00A52AD8"/>
    <w:pPr>
      <w:numPr>
        <w:ilvl w:val="6"/>
        <w:numId w:val="1"/>
      </w:numPr>
      <w:spacing w:after="137"/>
      <w:jc w:val="both"/>
      <w:outlineLvl w:val="6"/>
    </w:pPr>
  </w:style>
  <w:style w:type="paragraph" w:customStyle="1" w:styleId="Level8">
    <w:name w:val="Level 8"/>
    <w:basedOn w:val="Normln"/>
    <w:rsid w:val="00A52AD8"/>
    <w:pPr>
      <w:numPr>
        <w:ilvl w:val="7"/>
        <w:numId w:val="1"/>
      </w:numPr>
      <w:spacing w:after="137"/>
      <w:jc w:val="both"/>
      <w:outlineLvl w:val="7"/>
    </w:pPr>
  </w:style>
  <w:style w:type="paragraph" w:customStyle="1" w:styleId="Level9">
    <w:name w:val="Level 9"/>
    <w:basedOn w:val="Normln"/>
    <w:rsid w:val="00A52AD8"/>
    <w:pPr>
      <w:numPr>
        <w:ilvl w:val="8"/>
        <w:numId w:val="1"/>
      </w:numPr>
      <w:spacing w:after="137"/>
      <w:jc w:val="both"/>
      <w:outlineLvl w:val="8"/>
    </w:pPr>
  </w:style>
  <w:style w:type="character" w:customStyle="1" w:styleId="BodyChar">
    <w:name w:val="Body Char"/>
    <w:basedOn w:val="Standardnpsmoodstavce"/>
    <w:link w:val="Body"/>
    <w:rsid w:val="00A52AD8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Body2Char">
    <w:name w:val="Body 2 Char"/>
    <w:basedOn w:val="Standardnpsmoodstavce"/>
    <w:link w:val="Body2"/>
    <w:rsid w:val="00A52AD8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Level3Char">
    <w:name w:val="Level 3 Char"/>
    <w:basedOn w:val="Standardnpsmoodstavce"/>
    <w:link w:val="Level3"/>
    <w:rsid w:val="00A52AD8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PartiesChar">
    <w:name w:val="Parties Char"/>
    <w:basedOn w:val="Standardnpsmoodstavce"/>
    <w:link w:val="Parties"/>
    <w:rsid w:val="00A52AD8"/>
    <w:rPr>
      <w:rFonts w:ascii="Arial" w:eastAsia="Times New Roman" w:hAnsi="Arial" w:cs="Times New Roman"/>
      <w:kern w:val="20"/>
      <w:sz w:val="20"/>
      <w:szCs w:val="20"/>
      <w:lang w:val="en-GB"/>
    </w:rPr>
  </w:style>
  <w:style w:type="character" w:customStyle="1" w:styleId="ZkladntextChar">
    <w:name w:val="Základní text Char"/>
    <w:basedOn w:val="Standardnpsmoodstavce"/>
    <w:link w:val="Zkladntext"/>
    <w:rsid w:val="00A52AD8"/>
    <w:rPr>
      <w:rFonts w:ascii="Arial" w:eastAsia="Arial" w:hAnsi="Arial" w:cs="Arial"/>
      <w:color w:val="3C3C3C"/>
      <w:shd w:val="clear" w:color="auto" w:fill="FFFFFF"/>
    </w:rPr>
  </w:style>
  <w:style w:type="paragraph" w:styleId="Zkladntext">
    <w:name w:val="Body Text"/>
    <w:basedOn w:val="Normln"/>
    <w:link w:val="ZkladntextChar"/>
    <w:qFormat/>
    <w:rsid w:val="00A52AD8"/>
    <w:pPr>
      <w:widowControl w:val="0"/>
      <w:shd w:val="clear" w:color="auto" w:fill="FFFFFF"/>
      <w:spacing w:after="60" w:line="360" w:lineRule="auto"/>
      <w:jc w:val="both"/>
    </w:pPr>
    <w:rPr>
      <w:rFonts w:eastAsia="Arial" w:cs="Arial"/>
      <w:color w:val="3C3C3C"/>
      <w:kern w:val="0"/>
      <w:sz w:val="22"/>
      <w:szCs w:val="22"/>
      <w:lang w:val="cs-CZ"/>
    </w:rPr>
  </w:style>
  <w:style w:type="character" w:customStyle="1" w:styleId="ZkladntextChar1">
    <w:name w:val="Základní text Char1"/>
    <w:basedOn w:val="Standardnpsmoodstavce"/>
    <w:uiPriority w:val="99"/>
    <w:semiHidden/>
    <w:rsid w:val="00A52AD8"/>
    <w:rPr>
      <w:rFonts w:ascii="Arial" w:eastAsia="Times New Roman" w:hAnsi="Arial" w:cs="Times New Roman"/>
      <w:kern w:val="20"/>
      <w:sz w:val="20"/>
      <w:szCs w:val="20"/>
      <w:lang w:val="en-GB"/>
    </w:rPr>
  </w:style>
  <w:style w:type="table" w:styleId="Mkatabulky">
    <w:name w:val="Table Grid"/>
    <w:basedOn w:val="Normlntabulka"/>
    <w:uiPriority w:val="39"/>
    <w:rsid w:val="00A52AD8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cs-CZ" w:bidi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1607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Nexen Tire Europe s.r.o.</Company>
  <LinksUpToDate>false</LinksUpToDate>
  <CharactersWithSpaces>11071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U40175001</dc:creator>
  <cp:keywords/>
  <dc:description/>
  <cp:lastModifiedBy/>
  <cp:revision>1</cp:revision>
  <dcterms:created xsi:type="dcterms:W3CDTF">2023-05-24T10:52:00Z</dcterms:created>
</cp:coreProperties>
</file>